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2BE" w:rsidRDefault="00E822BE" w:rsidP="00E822BE">
      <w:pPr>
        <w:spacing w:line="240" w:lineRule="auto"/>
        <w:rPr>
          <w:rFonts w:ascii="ＤＨＰ平成明朝体W7" w:eastAsia="ＤＨＰ平成明朝体W7"/>
          <w:b/>
          <w:sz w:val="36"/>
        </w:rPr>
      </w:pPr>
      <w:r>
        <w:rPr>
          <w:rFonts w:ascii="FGP平成角ｺﾞｼｯｸ体W7" w:eastAsia="FGP平成角ｺﾞｼｯｸ体W7" w:hint="eastAsia"/>
          <w:sz w:val="36"/>
        </w:rPr>
        <w:t>大阪府知事</w:t>
      </w:r>
      <w:r>
        <w:rPr>
          <w:rFonts w:ascii="ＤＨＰ平成明朝体W7" w:eastAsia="ＤＨＰ平成明朝体W7" w:hint="eastAsia"/>
          <w:b/>
          <w:sz w:val="36"/>
        </w:rPr>
        <w:t xml:space="preserve">　</w:t>
      </w:r>
      <w:r>
        <w:rPr>
          <w:rFonts w:ascii="FGＮＴＣ新楷書体" w:eastAsia="FGＮＴＣ新楷書体" w:hint="eastAsia"/>
          <w:b/>
          <w:sz w:val="36"/>
        </w:rPr>
        <w:t>横山ノック殿</w:t>
      </w:r>
    </w:p>
    <w:p w:rsidR="00E822BE" w:rsidRDefault="00E822BE" w:rsidP="00E822BE">
      <w:pPr>
        <w:spacing w:line="360" w:lineRule="auto"/>
        <w:rPr>
          <w:rFonts w:ascii="FGＮＴＣ新楷書体" w:eastAsia="FGＮＴＣ新楷書体"/>
          <w:b/>
          <w:sz w:val="36"/>
        </w:rPr>
      </w:pPr>
      <w:r>
        <w:rPr>
          <w:rFonts w:ascii="FGP平成角ｺﾞｼｯｸ体W7" w:eastAsia="FGP平成角ｺﾞｼｯｸ体W7" w:hint="eastAsia"/>
          <w:sz w:val="36"/>
        </w:rPr>
        <w:t>大阪</w:t>
      </w:r>
      <w:r>
        <w:rPr>
          <w:rFonts w:ascii="ＭＳ 明朝" w:eastAsia="ＭＳ 明朝" w:hAnsi="ＭＳ 明朝" w:cs="ＭＳ 明朝" w:hint="eastAsia"/>
          <w:sz w:val="36"/>
        </w:rPr>
        <w:t xml:space="preserve">　</w:t>
      </w:r>
      <w:r>
        <w:rPr>
          <w:rFonts w:ascii="FGP平成角ｺﾞｼｯｸ体W7" w:eastAsia="FGP平成角ｺﾞｼｯｸ体W7" w:hAnsi="FGP平成角ｺﾞｼｯｸ体W7" w:cs="FGP平成角ｺﾞｼｯｸ体W7" w:hint="eastAsia"/>
          <w:sz w:val="36"/>
        </w:rPr>
        <w:t>市長</w:t>
      </w:r>
      <w:r>
        <w:rPr>
          <w:rFonts w:ascii="ＤＨＰ平成明朝体W7" w:eastAsia="ＤＨＰ平成明朝体W7" w:hint="eastAsia"/>
          <w:b/>
          <w:sz w:val="36"/>
        </w:rPr>
        <w:t xml:space="preserve">　 </w:t>
      </w:r>
      <w:r>
        <w:rPr>
          <w:rFonts w:ascii="FGＮＴＣ新楷書体" w:eastAsia="FGＮＴＣ新楷書体" w:hint="eastAsia"/>
          <w:b/>
          <w:sz w:val="36"/>
        </w:rPr>
        <w:t>磯村 隆文殿</w:t>
      </w:r>
    </w:p>
    <w:p w:rsidR="00E822BE" w:rsidRDefault="00E822BE" w:rsidP="00E822BE">
      <w:pPr>
        <w:spacing w:line="360" w:lineRule="auto"/>
        <w:rPr>
          <w:rFonts w:eastAsia="FGP平成角ｺﾞｼｯｸ体W7"/>
          <w:sz w:val="32"/>
        </w:rPr>
      </w:pPr>
      <w:r>
        <w:rPr>
          <w:rFonts w:eastAsia="FGP平成角ｺﾞｼｯｸ体W7" w:hint="eastAsia"/>
          <w:sz w:val="32"/>
        </w:rPr>
        <w:t>釜ヶ崎（</w:t>
      </w:r>
      <w:r>
        <w:rPr>
          <w:rFonts w:eastAsia="FGP平成角ｺﾞｼｯｸ体W7" w:hint="eastAsia"/>
          <w:sz w:val="24"/>
        </w:rPr>
        <w:t>あいりん地区</w:t>
      </w:r>
      <w:r>
        <w:rPr>
          <w:rFonts w:eastAsia="FGP平成角ｺﾞｼｯｸ体W7" w:hint="eastAsia"/>
          <w:sz w:val="32"/>
        </w:rPr>
        <w:t>）高齢者対策事業に関する要求</w:t>
      </w:r>
    </w:p>
    <w:p w:rsidR="00E822BE" w:rsidRDefault="00E822BE" w:rsidP="00E822BE">
      <w:pPr>
        <w:spacing w:line="240" w:lineRule="auto"/>
        <w:ind w:left="2400"/>
        <w:rPr>
          <w:rFonts w:ascii="FGP平成角ｺﾞｼｯｸ体W7" w:eastAsia="FGP平成角ｺﾞｼｯｸ体W7"/>
          <w:sz w:val="24"/>
        </w:rPr>
      </w:pPr>
      <w:r>
        <w:rPr>
          <w:rFonts w:ascii="FGP平成角ｺﾞｼｯｸ体W7" w:eastAsia="FGP平成角ｺﾞｼｯｸ体W7" w:hint="eastAsia"/>
          <w:sz w:val="24"/>
        </w:rPr>
        <w:t>釜ケ崎就労・生活保障制度実現をめざす連絡会</w:t>
      </w:r>
    </w:p>
    <w:p w:rsidR="00E822BE" w:rsidRDefault="00E822BE" w:rsidP="00E822BE">
      <w:pPr>
        <w:spacing w:line="360" w:lineRule="auto"/>
        <w:ind w:left="2400"/>
        <w:rPr>
          <w:rFonts w:ascii="FGP平成角ｺﾞｼｯｸ体W7" w:eastAsia="FGP平成角ｺﾞｼｯｸ体W7"/>
          <w:sz w:val="24"/>
        </w:rPr>
      </w:pPr>
      <w:r>
        <w:rPr>
          <w:rFonts w:ascii="FGP平成角ｺﾞｼｯｸ体W7" w:eastAsia="FGP平成角ｺﾞｼｯｸ体W7" w:hint="eastAsia"/>
          <w:sz w:val="24"/>
        </w:rPr>
        <w:t>西成区萩之茶屋３－１－１０ふるさとの家気付</w:t>
      </w:r>
    </w:p>
    <w:p w:rsidR="00E822BE" w:rsidRDefault="00E822BE" w:rsidP="00E822BE">
      <w:pPr>
        <w:spacing w:line="240" w:lineRule="auto"/>
        <w:rPr>
          <w:rFonts w:ascii="FGP平成角ｺﾞｼｯｸ体W7" w:eastAsia="FGP平成角ｺﾞｼｯｸ体W7"/>
          <w:sz w:val="24"/>
        </w:rPr>
      </w:pPr>
      <w:r>
        <w:rPr>
          <w:rFonts w:ascii="FGP平成角ｺﾞｼｯｸ体W7" w:eastAsia="FGP平成角ｺﾞｼｯｸ体W7" w:hint="eastAsia"/>
          <w:sz w:val="24"/>
        </w:rPr>
        <w:t>１．「特別清掃」登録労働者に月１３日の就労を実現すること</w:t>
      </w:r>
    </w:p>
    <w:p w:rsidR="00E822BE" w:rsidRDefault="00E822BE" w:rsidP="006639C6">
      <w:pPr>
        <w:numPr>
          <w:ilvl w:val="12"/>
          <w:numId w:val="0"/>
        </w:numPr>
        <w:spacing w:line="240" w:lineRule="auto"/>
        <w:ind w:left="391" w:firstLine="35"/>
        <w:rPr>
          <w:rFonts w:ascii="FGP平成角ｺﾞｼｯｸ体W7" w:eastAsia="FGP平成角ｺﾞｼｯｸ体W7"/>
          <w:sz w:val="24"/>
        </w:rPr>
      </w:pPr>
      <w:r>
        <w:rPr>
          <w:rFonts w:hint="eastAsia"/>
        </w:rPr>
        <w:t>「特別清掃」事業を、生計を支えるに足る収入をもたらすものとする考えはない、と行政の担当者はいう。しかし、職を求める高齢者が</w:t>
      </w:r>
      <w:r>
        <w:t>900</w:t>
      </w:r>
      <w:r>
        <w:rPr>
          <w:rFonts w:hint="eastAsia"/>
        </w:rPr>
        <w:t>名を超えて存在していることは過去の登録実績によって明らかである。そのうちの半数を超える労働者が常に野宿にさらされていることも、事実である。過去三年の事実の積み重ねにより、行政にも直接把握されることになった事実に、直載に対応すべきである。</w:t>
      </w:r>
    </w:p>
    <w:p w:rsidR="00E822BE" w:rsidRDefault="00E822BE" w:rsidP="00E822BE">
      <w:pPr>
        <w:spacing w:line="240" w:lineRule="auto"/>
        <w:rPr>
          <w:rFonts w:ascii="FGP平成角ｺﾞｼｯｸ体W7" w:eastAsia="FGP平成角ｺﾞｼｯｸ体W7"/>
          <w:sz w:val="24"/>
        </w:rPr>
      </w:pPr>
      <w:r>
        <w:rPr>
          <w:rFonts w:ascii="FGP平成角ｺﾞｼｯｸ体W7" w:eastAsia="FGP平成角ｺﾞｼｯｸ体W7" w:hint="eastAsia"/>
          <w:sz w:val="24"/>
        </w:rPr>
        <w:t>２．簡易宿泊所での居宅保護を認めること</w:t>
      </w:r>
    </w:p>
    <w:p w:rsidR="00E822BE" w:rsidRDefault="00E822BE" w:rsidP="006639C6">
      <w:pPr>
        <w:numPr>
          <w:ilvl w:val="12"/>
          <w:numId w:val="0"/>
        </w:numPr>
        <w:spacing w:line="240" w:lineRule="auto"/>
        <w:ind w:left="390" w:firstLine="177"/>
        <w:rPr>
          <w:rFonts w:ascii="FGP平成角ｺﾞｼｯｸ体W7" w:eastAsia="FGP平成角ｺﾞｼｯｸ体W7"/>
          <w:sz w:val="24"/>
        </w:rPr>
      </w:pPr>
      <w:r>
        <w:rPr>
          <w:rFonts w:ascii="ＭＳ 明朝" w:hint="eastAsia"/>
        </w:rPr>
        <w:t>働いて生計を維持しようとするものに、職を与えることで対応できないのであれば、少なくとも登録労働者のうちで生活保護を求めるものについては、簡易宿泊所であれ公園・路上生活であれ「居宅保護」を適用すること。</w:t>
      </w:r>
    </w:p>
    <w:p w:rsidR="00E822BE" w:rsidRDefault="00E822BE" w:rsidP="00E822BE">
      <w:pPr>
        <w:spacing w:line="240" w:lineRule="auto"/>
        <w:rPr>
          <w:rFonts w:ascii="FGP平成角ｺﾞｼｯｸ体W7" w:eastAsia="FGP平成角ｺﾞｼｯｸ体W7"/>
          <w:sz w:val="24"/>
        </w:rPr>
      </w:pPr>
      <w:r>
        <w:rPr>
          <w:rFonts w:ascii="FGP平成角ｺﾞｼｯｸ体W7" w:eastAsia="FGP平成角ｺﾞｼｯｸ体W7" w:hint="eastAsia"/>
          <w:sz w:val="24"/>
        </w:rPr>
        <w:t>３．前二項いずれも実施しない間は「殺人行政」を自認すること</w:t>
      </w:r>
    </w:p>
    <w:p w:rsidR="00E822BE" w:rsidRDefault="00E822BE" w:rsidP="006639C6">
      <w:pPr>
        <w:numPr>
          <w:ilvl w:val="12"/>
          <w:numId w:val="0"/>
        </w:numPr>
        <w:spacing w:line="240" w:lineRule="auto"/>
        <w:ind w:left="390" w:firstLine="177"/>
        <w:rPr>
          <w:rFonts w:ascii="FGP平成角ｺﾞｼｯｸ体W7" w:eastAsia="FGP平成角ｺﾞｼｯｸ体W7"/>
          <w:sz w:val="24"/>
        </w:rPr>
      </w:pPr>
      <w:r>
        <w:rPr>
          <w:rFonts w:ascii="ＭＳ 明朝" w:hint="eastAsia"/>
        </w:rPr>
        <w:t>釜ヶ崎を中心として路上死が多発していることは、行政においても周知のことである。前二項の対策のいずれもとらない結果、路上死が増加することも、合理的因果関係により万人の理解しうるところである。人の死を救えるにもかかわらず座視するものは、「殺人」を行うに等しい。前二項の対策のいずれもとらないのであれば、大阪府・市は、釜ヶ崎高齢者について「殺人行政」を行うものであると書面にて認めること。でなければ、釜ヶ崎の対策について「殺人行政」ではない証を、現在実施している施策で具体的に書面で説明すること。</w:t>
      </w:r>
    </w:p>
    <w:p w:rsidR="00E822BE" w:rsidRDefault="00E822BE" w:rsidP="00E822BE">
      <w:pPr>
        <w:spacing w:line="240" w:lineRule="auto"/>
        <w:rPr>
          <w:rFonts w:ascii="FGP平成角ｺﾞｼｯｸ体W7" w:eastAsia="FGP平成角ｺﾞｼｯｸ体W7"/>
          <w:sz w:val="24"/>
        </w:rPr>
      </w:pPr>
      <w:r>
        <w:rPr>
          <w:rFonts w:ascii="FGP平成角ｺﾞｼｯｸ体W7" w:eastAsia="FGP平成角ｺﾞｼｯｸ体W7" w:hint="eastAsia"/>
          <w:sz w:val="24"/>
        </w:rPr>
        <w:t>４．大阪府は「センター清掃」を通年化すること</w:t>
      </w:r>
    </w:p>
    <w:p w:rsidR="00E822BE" w:rsidRDefault="00E822BE" w:rsidP="006639C6">
      <w:pPr>
        <w:numPr>
          <w:ilvl w:val="12"/>
          <w:numId w:val="0"/>
        </w:numPr>
        <w:spacing w:line="240" w:lineRule="auto"/>
        <w:ind w:left="390" w:firstLine="177"/>
      </w:pPr>
      <w:r>
        <w:rPr>
          <w:rFonts w:hint="eastAsia"/>
        </w:rPr>
        <w:t>大阪府は労働行政の分担を自認しながら、釜ヶ崎高齢者対策について十分な職責を</w:t>
      </w:r>
      <w:bookmarkStart w:id="0" w:name="_GoBack"/>
      <w:bookmarkEnd w:id="0"/>
      <w:r>
        <w:rPr>
          <w:rFonts w:hint="eastAsia"/>
        </w:rPr>
        <w:t>果たしているとは認められない。せめて「センター清掃」を通年化すること。</w:t>
      </w:r>
    </w:p>
    <w:p w:rsidR="00E822BE" w:rsidRDefault="00E822BE" w:rsidP="00E822BE">
      <w:pPr>
        <w:spacing w:line="240" w:lineRule="auto"/>
      </w:pPr>
      <w:r>
        <w:rPr>
          <w:rFonts w:eastAsia="FGP平成角ｺﾞｼｯｸ体W7" w:hint="eastAsia"/>
          <w:sz w:val="24"/>
        </w:rPr>
        <w:t>５．大阪市は休日明けの「道路清掃」について増員すること</w:t>
      </w:r>
    </w:p>
    <w:p w:rsidR="00E822BE" w:rsidRDefault="00E822BE" w:rsidP="006639C6">
      <w:pPr>
        <w:numPr>
          <w:ilvl w:val="12"/>
          <w:numId w:val="0"/>
        </w:numPr>
        <w:spacing w:line="240" w:lineRule="auto"/>
        <w:ind w:left="390" w:firstLine="36"/>
      </w:pPr>
      <w:r>
        <w:rPr>
          <w:rFonts w:hint="eastAsia"/>
        </w:rPr>
        <w:t>「道路清掃」の</w:t>
      </w:r>
      <w:r>
        <w:t>1996</w:t>
      </w:r>
      <w:r>
        <w:rPr>
          <w:rFonts w:hint="eastAsia"/>
        </w:rPr>
        <w:t>年実績は、回収箱数で</w:t>
      </w:r>
      <w:r>
        <w:t>27,133</w:t>
      </w:r>
      <w:r>
        <w:rPr>
          <w:rFonts w:hint="eastAsia"/>
        </w:rPr>
        <w:t>箱であった。一日あたり</w:t>
      </w:r>
      <w:r>
        <w:t>92</w:t>
      </w:r>
      <w:r>
        <w:rPr>
          <w:rFonts w:hint="eastAsia"/>
        </w:rPr>
        <w:t>箱であるが、休日明けの平均は</w:t>
      </w:r>
      <w:r>
        <w:t>128</w:t>
      </w:r>
      <w:r>
        <w:rPr>
          <w:rFonts w:hint="eastAsia"/>
        </w:rPr>
        <w:t>箱、平日平均は</w:t>
      </w:r>
      <w:r>
        <w:t>83.5</w:t>
      </w:r>
      <w:r>
        <w:rPr>
          <w:rFonts w:hint="eastAsia"/>
        </w:rPr>
        <w:t>箱で大きな差があり、同じ人員で対応できる範囲を超えている。休日明けについて、増員すること。</w:t>
      </w:r>
    </w:p>
    <w:p w:rsidR="00E822BE" w:rsidRDefault="00E822BE" w:rsidP="00E822BE">
      <w:pPr>
        <w:spacing w:line="240" w:lineRule="auto"/>
      </w:pPr>
      <w:r>
        <w:rPr>
          <w:rFonts w:eastAsia="FGP平成角ｺﾞｼｯｸ体W7" w:hint="eastAsia"/>
          <w:sz w:val="24"/>
        </w:rPr>
        <w:t>６．「特別清掃」の就労場所として霞町再開発ビルを確保すること</w:t>
      </w:r>
    </w:p>
    <w:p w:rsidR="00E822BE" w:rsidRDefault="00E822BE" w:rsidP="00E822BE">
      <w:pPr>
        <w:spacing w:line="240" w:lineRule="auto"/>
        <w:ind w:left="360"/>
      </w:pPr>
      <w:r>
        <w:rPr>
          <w:rFonts w:hint="eastAsia"/>
        </w:rPr>
        <w:t>本年</w:t>
      </w:r>
      <w:r w:rsidR="006639C6">
        <w:rPr>
          <w:rFonts w:hint="eastAsia"/>
        </w:rPr>
        <w:t>7</w:t>
      </w:r>
      <w:r>
        <w:rPr>
          <w:rFonts w:hint="eastAsia"/>
        </w:rPr>
        <w:t>月開業予定の霞町再開発ビルの清掃員・ガードマンの半数以上は、「特別清掃」登録労働者をもってあてることを、管理会社に対して、府市連名で強く要請し、「セン</w:t>
      </w:r>
      <w:r>
        <w:rPr>
          <w:rFonts w:hint="eastAsia"/>
        </w:rPr>
        <w:lastRenderedPageBreak/>
        <w:t>ター」との間を仲介すること。</w:t>
      </w:r>
    </w:p>
    <w:p w:rsidR="00E822BE" w:rsidRDefault="00E822BE" w:rsidP="00E822BE">
      <w:pPr>
        <w:spacing w:line="240" w:lineRule="auto"/>
        <w:rPr>
          <w:rFonts w:eastAsia="FGP平成角ｺﾞｼｯｸ体W7"/>
          <w:sz w:val="24"/>
        </w:rPr>
      </w:pPr>
      <w:r>
        <w:rPr>
          <w:rFonts w:eastAsia="FGP平成角ｺﾞｼｯｸ体W7" w:hint="eastAsia"/>
          <w:sz w:val="24"/>
        </w:rPr>
        <w:t>７．「建退共」より資金を求め「高齢労働者雇用事業団」を発促させること</w:t>
      </w:r>
    </w:p>
    <w:p w:rsidR="00E822BE" w:rsidRDefault="00E822BE" w:rsidP="006639C6">
      <w:pPr>
        <w:numPr>
          <w:ilvl w:val="12"/>
          <w:numId w:val="0"/>
        </w:numPr>
        <w:spacing w:line="240" w:lineRule="auto"/>
        <w:ind w:left="405" w:hanging="121"/>
      </w:pPr>
      <w:r>
        <w:rPr>
          <w:rFonts w:hint="eastAsia"/>
        </w:rPr>
        <w:t>府市協力して知恵と努力を積み上げて実現すること</w:t>
      </w:r>
    </w:p>
    <w:p w:rsidR="00E822BE" w:rsidRDefault="00E822BE" w:rsidP="00E822BE">
      <w:pPr>
        <w:spacing w:line="240" w:lineRule="auto"/>
      </w:pPr>
      <w:r>
        <w:rPr>
          <w:rFonts w:eastAsia="FGP平成角ｺﾞｼｯｸ体W7" w:hint="eastAsia"/>
          <w:sz w:val="24"/>
        </w:rPr>
        <w:t>８．国に対して提出した共同要望書の中身と提出先を明らかにすること</w:t>
      </w:r>
    </w:p>
    <w:p w:rsidR="00E822BE" w:rsidRDefault="00E822BE" w:rsidP="006639C6">
      <w:pPr>
        <w:numPr>
          <w:ilvl w:val="12"/>
          <w:numId w:val="0"/>
        </w:numPr>
        <w:spacing w:line="240" w:lineRule="auto"/>
        <w:ind w:left="405" w:hanging="121"/>
      </w:pPr>
      <w:r>
        <w:rPr>
          <w:rFonts w:hint="eastAsia"/>
        </w:rPr>
        <w:t>府市共同で国に対して提出された要望書、その提出先について、具体的にお知らせ願いたい。</w:t>
      </w:r>
    </w:p>
    <w:p w:rsidR="00E822BE" w:rsidRDefault="00E822BE" w:rsidP="00E822BE">
      <w:pPr>
        <w:numPr>
          <w:ilvl w:val="0"/>
          <w:numId w:val="1"/>
        </w:numPr>
        <w:spacing w:line="240" w:lineRule="auto"/>
        <w:ind w:left="180" w:hanging="180"/>
      </w:pPr>
      <w:r>
        <w:rPr>
          <w:rFonts w:eastAsia="FGP平成角ｺﾞｼｯｸ体W7" w:hint="eastAsia"/>
          <w:sz w:val="24"/>
        </w:rPr>
        <w:t>「あいりん対策検討委員会」の活動報告を求める</w:t>
      </w:r>
    </w:p>
    <w:p w:rsidR="00E822BE" w:rsidRDefault="00E822BE" w:rsidP="006639C6">
      <w:pPr>
        <w:spacing w:line="240" w:lineRule="auto"/>
        <w:ind w:left="375" w:firstLineChars="91" w:firstLine="191"/>
      </w:pPr>
      <w:r>
        <w:rPr>
          <w:rFonts w:hint="eastAsia"/>
        </w:rPr>
        <w:t>府市共同で「あいりん対策検討委員会」が、設置されたことは望ましいことであった。しかし、釜ヶ崎対策の急進展が望まれる状況に比べ、あまりにも「検討」に月日が費やされすぎであり、いたって行政が対策を進展させようとする意欲を規制するごとき物になっている趣もある。活動状況についてお知らせ願いたい。</w:t>
      </w:r>
    </w:p>
    <w:p w:rsidR="00E822BE" w:rsidRDefault="00E822BE" w:rsidP="006639C6">
      <w:pPr>
        <w:spacing w:line="240" w:lineRule="auto"/>
        <w:ind w:left="360" w:hanging="218"/>
      </w:pPr>
      <w:r>
        <w:rPr>
          <w:rFonts w:hint="eastAsia"/>
        </w:rPr>
        <w:t xml:space="preserve">　　下記の表で明らかなように、西成区には他区よりも高齢単身者が多く居り、そのうちで働いているもの、働きたいが職のないものもまた多い。すでに把握されている数字だけでも西成区への対策の必要は容易に把握されるのである。この点から「清掃事業」は、必要な地域に「一般対策」を実施したにすぎないといえる。釜ヶ崎の地域事情に合った高齢者対策とは、「一般対策」に上乗せされる部分のことでなければならないことは自明である。</w:t>
      </w:r>
    </w:p>
    <w:p w:rsidR="00E822BE" w:rsidRDefault="00E822BE" w:rsidP="00E822BE">
      <w:pPr>
        <w:spacing w:line="240" w:lineRule="auto"/>
        <w:ind w:left="360" w:hanging="360"/>
      </w:pPr>
      <w:r>
        <w:rPr>
          <w:rFonts w:ascii="FGP平成角ｺﾞｼｯｸ体W7" w:hint="eastAsia"/>
          <w:sz w:val="24"/>
        </w:rPr>
        <w:t>10.</w:t>
      </w:r>
      <w:r>
        <w:rPr>
          <w:rFonts w:ascii="FGP平成角ｺﾞｼｯｸ体W7" w:eastAsia="FGP平成角ｺﾞｼｯｸ体W7" w:hint="eastAsia"/>
          <w:sz w:val="24"/>
        </w:rPr>
        <w:t>上記事項につき、府市で検討の上、早急に回答日を設定されたい</w:t>
      </w:r>
    </w:p>
    <w:p w:rsidR="00E822BE" w:rsidRDefault="00E822BE">
      <w:r w:rsidRPr="00E822BE">
        <w:rPr>
          <w:rFonts w:hint="eastAsia"/>
        </w:rPr>
        <w:t xml:space="preserve">　　</w:t>
      </w:r>
    </w:p>
    <w:tbl>
      <w:tblPr>
        <w:tblW w:w="7380" w:type="dxa"/>
        <w:tblInd w:w="539" w:type="dxa"/>
        <w:tblLayout w:type="fixed"/>
        <w:tblCellMar>
          <w:left w:w="30" w:type="dxa"/>
          <w:right w:w="30" w:type="dxa"/>
        </w:tblCellMar>
        <w:tblLook w:val="04A0" w:firstRow="1" w:lastRow="0" w:firstColumn="1" w:lastColumn="0" w:noHBand="0" w:noVBand="1"/>
      </w:tblPr>
      <w:tblGrid>
        <w:gridCol w:w="1080"/>
        <w:gridCol w:w="798"/>
        <w:gridCol w:w="744"/>
        <w:gridCol w:w="978"/>
        <w:gridCol w:w="720"/>
        <w:gridCol w:w="720"/>
        <w:gridCol w:w="1080"/>
        <w:gridCol w:w="540"/>
        <w:gridCol w:w="720"/>
      </w:tblGrid>
      <w:tr w:rsidR="00E822BE" w:rsidTr="00E822BE">
        <w:trPr>
          <w:trHeight w:val="260"/>
        </w:trPr>
        <w:tc>
          <w:tcPr>
            <w:tcW w:w="1080" w:type="dxa"/>
            <w:tcBorders>
              <w:top w:val="single" w:sz="12" w:space="0" w:color="000000"/>
              <w:left w:val="single" w:sz="12" w:space="0" w:color="000000"/>
              <w:bottom w:val="single" w:sz="12" w:space="0" w:color="000000"/>
              <w:right w:val="nil"/>
            </w:tcBorders>
            <w:shd w:val="solid" w:color="FFFFFF" w:fill="FFFFFF"/>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lastRenderedPageBreak/>
              <w:t>高齢単身者</w:t>
            </w:r>
          </w:p>
        </w:tc>
        <w:tc>
          <w:tcPr>
            <w:tcW w:w="798" w:type="dxa"/>
            <w:tcBorders>
              <w:top w:val="single" w:sz="12" w:space="0" w:color="000000"/>
              <w:left w:val="nil"/>
              <w:bottom w:val="single" w:sz="12" w:space="0" w:color="000000"/>
              <w:right w:val="nil"/>
            </w:tcBorders>
            <w:shd w:val="solid" w:color="FFFFFF" w:fill="FFFFFF"/>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(60歳以</w:t>
            </w:r>
          </w:p>
        </w:tc>
        <w:tc>
          <w:tcPr>
            <w:tcW w:w="744" w:type="dxa"/>
            <w:tcBorders>
              <w:top w:val="single" w:sz="12" w:space="0" w:color="000000"/>
              <w:left w:val="nil"/>
              <w:bottom w:val="single" w:sz="12" w:space="0" w:color="000000"/>
              <w:right w:val="single" w:sz="12" w:space="0" w:color="000000"/>
            </w:tcBorders>
            <w:shd w:val="solid" w:color="FFFFFF" w:fill="FFFFFF"/>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上）</w:t>
            </w:r>
          </w:p>
        </w:tc>
        <w:tc>
          <w:tcPr>
            <w:tcW w:w="978" w:type="dxa"/>
            <w:tcBorders>
              <w:top w:val="single" w:sz="12" w:space="0" w:color="000000"/>
              <w:left w:val="single" w:sz="12" w:space="0" w:color="000000"/>
              <w:bottom w:val="single" w:sz="12" w:space="0" w:color="000000"/>
              <w:right w:val="nil"/>
            </w:tcBorders>
            <w:shd w:val="solid" w:color="FFFFFF" w:fill="FFFFFF"/>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労働力人</w:t>
            </w:r>
          </w:p>
        </w:tc>
        <w:tc>
          <w:tcPr>
            <w:tcW w:w="720" w:type="dxa"/>
            <w:tcBorders>
              <w:top w:val="single" w:sz="12" w:space="0" w:color="000000"/>
              <w:left w:val="nil"/>
              <w:bottom w:val="single" w:sz="12" w:space="0" w:color="000000"/>
              <w:right w:val="nil"/>
            </w:tcBorders>
            <w:shd w:val="solid" w:color="FFFFFF" w:fill="FFFFFF"/>
            <w:hideMark/>
          </w:tcPr>
          <w:p w:rsidR="00E822BE" w:rsidRDefault="00E822BE" w:rsidP="00E822BE">
            <w:pPr>
              <w:framePr w:w="7785" w:h="7771" w:hSpace="142" w:wrap="around" w:vAnchor="text" w:hAnchor="page" w:x="1854" w:y="176"/>
              <w:autoSpaceDE w:val="0"/>
              <w:autoSpaceDN w:val="0"/>
              <w:spacing w:line="240" w:lineRule="auto"/>
              <w:rPr>
                <w:rFonts w:ascii="ＭＳ Ｐゴシック" w:eastAsia="ＭＳ Ｐゴシック"/>
                <w:color w:val="000000"/>
                <w:sz w:val="20"/>
              </w:rPr>
            </w:pPr>
            <w:r>
              <w:rPr>
                <w:rFonts w:ascii="ＭＳ Ｐゴシック" w:eastAsia="ＭＳ Ｐゴシック" w:hint="eastAsia"/>
                <w:color w:val="000000"/>
                <w:sz w:val="20"/>
              </w:rPr>
              <w:t>口</w:t>
            </w:r>
          </w:p>
        </w:tc>
        <w:tc>
          <w:tcPr>
            <w:tcW w:w="720" w:type="dxa"/>
            <w:tcBorders>
              <w:top w:val="single" w:sz="12" w:space="0" w:color="000000"/>
              <w:left w:val="nil"/>
              <w:bottom w:val="single" w:sz="12" w:space="0" w:color="000000"/>
              <w:right w:val="single" w:sz="12" w:space="0" w:color="000000"/>
            </w:tcBorders>
            <w:shd w:val="solid" w:color="FFFFFF" w:fill="FFFFFF"/>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p>
        </w:tc>
        <w:tc>
          <w:tcPr>
            <w:tcW w:w="1080" w:type="dxa"/>
            <w:tcBorders>
              <w:top w:val="single" w:sz="12" w:space="0" w:color="000000"/>
              <w:left w:val="single" w:sz="12" w:space="0" w:color="000000"/>
              <w:bottom w:val="single" w:sz="12" w:space="0" w:color="000000"/>
              <w:right w:val="nil"/>
            </w:tcBorders>
            <w:shd w:val="solid" w:color="FFFFFF" w:fill="FFFFFF"/>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完全失業者</w:t>
            </w:r>
          </w:p>
        </w:tc>
        <w:tc>
          <w:tcPr>
            <w:tcW w:w="540" w:type="dxa"/>
            <w:tcBorders>
              <w:top w:val="single" w:sz="12" w:space="0" w:color="000000"/>
              <w:left w:val="nil"/>
              <w:bottom w:val="single" w:sz="12" w:space="0" w:color="000000"/>
              <w:right w:val="nil"/>
            </w:tcBorders>
            <w:shd w:val="solid" w:color="FFFFFF" w:fill="FFFFFF"/>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p>
        </w:tc>
        <w:tc>
          <w:tcPr>
            <w:tcW w:w="720" w:type="dxa"/>
            <w:tcBorders>
              <w:top w:val="single" w:sz="12" w:space="0" w:color="000000"/>
              <w:left w:val="nil"/>
              <w:bottom w:val="single" w:sz="12" w:space="0" w:color="000000"/>
              <w:right w:val="single" w:sz="12" w:space="0" w:color="000000"/>
            </w:tcBorders>
            <w:shd w:val="solid" w:color="FFFFFF" w:fill="FFFFFF"/>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p>
        </w:tc>
      </w:tr>
      <w:tr w:rsidR="00E822BE" w:rsidTr="00E822BE">
        <w:trPr>
          <w:trHeight w:val="248"/>
        </w:trPr>
        <w:tc>
          <w:tcPr>
            <w:tcW w:w="1080" w:type="dxa"/>
            <w:tcBorders>
              <w:top w:val="single" w:sz="12" w:space="0" w:color="000000"/>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西成区</w:t>
            </w:r>
          </w:p>
        </w:tc>
        <w:tc>
          <w:tcPr>
            <w:tcW w:w="798" w:type="dxa"/>
            <w:tcBorders>
              <w:top w:val="single" w:sz="12" w:space="0" w:color="000000"/>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8,048</w:t>
            </w:r>
          </w:p>
        </w:tc>
        <w:tc>
          <w:tcPr>
            <w:tcW w:w="744" w:type="dxa"/>
            <w:tcBorders>
              <w:top w:val="single" w:sz="12" w:space="0" w:color="000000"/>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9.44%</w:t>
            </w:r>
          </w:p>
        </w:tc>
        <w:tc>
          <w:tcPr>
            <w:tcW w:w="978" w:type="dxa"/>
            <w:tcBorders>
              <w:top w:val="single" w:sz="12" w:space="0" w:color="000000"/>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西成区</w:t>
            </w:r>
          </w:p>
        </w:tc>
        <w:tc>
          <w:tcPr>
            <w:tcW w:w="720" w:type="dxa"/>
            <w:tcBorders>
              <w:top w:val="single" w:sz="12" w:space="0" w:color="000000"/>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3,023</w:t>
            </w:r>
          </w:p>
        </w:tc>
        <w:tc>
          <w:tcPr>
            <w:tcW w:w="720" w:type="dxa"/>
            <w:tcBorders>
              <w:top w:val="single" w:sz="12" w:space="0" w:color="000000"/>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10.85%</w:t>
            </w:r>
          </w:p>
        </w:tc>
        <w:tc>
          <w:tcPr>
            <w:tcW w:w="1080" w:type="dxa"/>
            <w:tcBorders>
              <w:top w:val="single" w:sz="12" w:space="0" w:color="000000"/>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西成区</w:t>
            </w:r>
          </w:p>
        </w:tc>
        <w:tc>
          <w:tcPr>
            <w:tcW w:w="540" w:type="dxa"/>
            <w:tcBorders>
              <w:top w:val="single" w:sz="12" w:space="0" w:color="000000"/>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703</w:t>
            </w:r>
          </w:p>
        </w:tc>
        <w:tc>
          <w:tcPr>
            <w:tcW w:w="720" w:type="dxa"/>
            <w:tcBorders>
              <w:top w:val="single" w:sz="12" w:space="0" w:color="000000"/>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20.02%</w:t>
            </w:r>
          </w:p>
        </w:tc>
      </w:tr>
      <w:tr w:rsidR="00E822BE" w:rsidTr="00E822BE">
        <w:trPr>
          <w:trHeight w:val="248"/>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生野区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5,784</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6.79%</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生野区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1,694</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6.08%</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住吉区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239</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6.81%</w:t>
            </w:r>
          </w:p>
        </w:tc>
      </w:tr>
      <w:tr w:rsidR="00E822BE" w:rsidTr="00E822BE">
        <w:trPr>
          <w:trHeight w:val="248"/>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住吉区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5,652</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6.63%</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淀川区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1,675</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6.01%</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淀川区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213</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6.07%</w:t>
            </w:r>
          </w:p>
        </w:tc>
      </w:tr>
      <w:tr w:rsidR="00E822BE" w:rsidTr="00E822BE">
        <w:trPr>
          <w:trHeight w:val="248"/>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東住吉区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5,433</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6.37%</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住吉区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1,643</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5.90%</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生野区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187</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5.33%</w:t>
            </w:r>
          </w:p>
        </w:tc>
      </w:tr>
      <w:tr w:rsidR="00E822BE" w:rsidTr="00E822BE">
        <w:trPr>
          <w:trHeight w:val="248"/>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淀川区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4,797</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5.63%</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阿倍野区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1,431</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5.14%</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平野区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186</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5.30%</w:t>
            </w:r>
          </w:p>
        </w:tc>
      </w:tr>
      <w:tr w:rsidR="00E822BE" w:rsidTr="00E822BE">
        <w:trPr>
          <w:trHeight w:val="248"/>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阿倍野区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4,653</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5.46%</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東住吉区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1,423</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5.11%</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港区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162</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4.61%</w:t>
            </w:r>
          </w:p>
        </w:tc>
      </w:tr>
      <w:tr w:rsidR="00E822BE" w:rsidTr="00E822BE">
        <w:trPr>
          <w:trHeight w:val="248"/>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平野区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4,496</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5.28%</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北区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1,377</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4.94%</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東淀川区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152</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4.33%</w:t>
            </w:r>
          </w:p>
        </w:tc>
      </w:tr>
      <w:tr w:rsidR="00E822BE" w:rsidTr="00E822BE">
        <w:trPr>
          <w:trHeight w:val="248"/>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東淀川区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4,415</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5.18%</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城東区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1,354</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4.86%</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阿倍野区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149</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4.24%</w:t>
            </w:r>
          </w:p>
        </w:tc>
      </w:tr>
      <w:tr w:rsidR="00E822BE" w:rsidTr="00E822BE">
        <w:trPr>
          <w:trHeight w:val="248"/>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城東区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4,407</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5.17%</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中央区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1,287</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4.62%</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東住吉区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140</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3.99%</w:t>
            </w:r>
          </w:p>
        </w:tc>
      </w:tr>
      <w:tr w:rsidR="00E822BE" w:rsidTr="00E822BE">
        <w:trPr>
          <w:trHeight w:val="248"/>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旭区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3,801</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4.46%</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東淀川区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1,263</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4.54%</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城東区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137</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3.90%</w:t>
            </w:r>
          </w:p>
        </w:tc>
      </w:tr>
      <w:tr w:rsidR="00E822BE" w:rsidTr="00E822BE">
        <w:trPr>
          <w:trHeight w:val="248"/>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住之江区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3,560</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4.18%</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平野区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1,167</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4.19%</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住之江区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131</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3.73%</w:t>
            </w:r>
          </w:p>
        </w:tc>
      </w:tr>
      <w:tr w:rsidR="00E822BE" w:rsidTr="00E822BE">
        <w:trPr>
          <w:trHeight w:val="248"/>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北区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3,114</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3.65%</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旭区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1,004</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3.61%</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浪速区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123</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3.50%</w:t>
            </w:r>
          </w:p>
        </w:tc>
      </w:tr>
      <w:tr w:rsidR="00E822BE" w:rsidTr="00E822BE">
        <w:trPr>
          <w:trHeight w:val="248"/>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東成区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2,914</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3.42%</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浪速区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1,000</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3.59%</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此花区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102</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2.91%</w:t>
            </w:r>
          </w:p>
        </w:tc>
      </w:tr>
      <w:tr w:rsidR="00E822BE" w:rsidTr="00E822BE">
        <w:trPr>
          <w:trHeight w:val="248"/>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都島区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2,679</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3.14%</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都島区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975</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3.50%</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北区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101</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2.88%</w:t>
            </w:r>
          </w:p>
        </w:tc>
      </w:tr>
      <w:tr w:rsidR="00E822BE" w:rsidTr="00E822BE">
        <w:trPr>
          <w:trHeight w:val="248"/>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港区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2,611</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3.06%</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住之江区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942</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3.38%</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大正区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100</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2.85%</w:t>
            </w:r>
          </w:p>
        </w:tc>
      </w:tr>
      <w:tr w:rsidR="00E822BE" w:rsidTr="00E822BE">
        <w:trPr>
          <w:trHeight w:val="248"/>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西淀川区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2,604</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3.06%</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東成区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926</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3.32%</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旭区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96</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2.73%</w:t>
            </w:r>
          </w:p>
        </w:tc>
      </w:tr>
      <w:tr w:rsidR="00E822BE" w:rsidTr="00E822BE">
        <w:trPr>
          <w:trHeight w:val="248"/>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中央区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2,441</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2.86%</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港区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900</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3.23%</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中央区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91</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2.59%</w:t>
            </w:r>
          </w:p>
        </w:tc>
      </w:tr>
      <w:tr w:rsidR="00E822BE" w:rsidTr="00E822BE">
        <w:trPr>
          <w:trHeight w:val="248"/>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浪速区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2,357</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2.77%</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天王寺区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779</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2.80%</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西淀川区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87</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2.48%</w:t>
            </w:r>
          </w:p>
        </w:tc>
      </w:tr>
      <w:tr w:rsidR="00E822BE" w:rsidTr="00E822BE">
        <w:trPr>
          <w:trHeight w:val="248"/>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大正区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2,064</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2.42%</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西淀川区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776</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2.79%</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東成区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86</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2.45%</w:t>
            </w:r>
          </w:p>
        </w:tc>
      </w:tr>
      <w:tr w:rsidR="00E822BE" w:rsidTr="00E822BE">
        <w:trPr>
          <w:trHeight w:val="248"/>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此花区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2,015</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2.36%</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西区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764</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2.74%</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都島区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78</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2.22%</w:t>
            </w:r>
          </w:p>
        </w:tc>
      </w:tr>
      <w:tr w:rsidR="00E822BE" w:rsidTr="00E822BE">
        <w:trPr>
          <w:trHeight w:val="248"/>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福島区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2,013</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2.36%</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福島区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718</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2.58%</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福島区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74</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2.11%</w:t>
            </w:r>
          </w:p>
        </w:tc>
      </w:tr>
      <w:tr w:rsidR="00E822BE" w:rsidTr="00E822BE">
        <w:trPr>
          <w:trHeight w:val="248"/>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天王寺区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1,934</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2.27%</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大正区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647</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2.32%</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天王寺区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61</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1.74%</w:t>
            </w:r>
          </w:p>
        </w:tc>
      </w:tr>
      <w:tr w:rsidR="00E822BE" w:rsidTr="00E822BE">
        <w:trPr>
          <w:trHeight w:val="248"/>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鶴見区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1,774</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2.08%</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此花区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619</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2.22%</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西区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58</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1.65%</w:t>
            </w:r>
          </w:p>
        </w:tc>
      </w:tr>
      <w:tr w:rsidR="00E822BE" w:rsidTr="00E822BE">
        <w:trPr>
          <w:trHeight w:val="260"/>
        </w:trPr>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西区</w:t>
            </w:r>
          </w:p>
        </w:tc>
        <w:tc>
          <w:tcPr>
            <w:tcW w:w="798"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1,662</w:t>
            </w:r>
          </w:p>
        </w:tc>
        <w:tc>
          <w:tcPr>
            <w:tcW w:w="744"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1.95%</w:t>
            </w:r>
          </w:p>
        </w:tc>
        <w:tc>
          <w:tcPr>
            <w:tcW w:w="978"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鶴見区</w:t>
            </w:r>
          </w:p>
        </w:tc>
        <w:tc>
          <w:tcPr>
            <w:tcW w:w="72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463</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1.66%</w:t>
            </w:r>
          </w:p>
        </w:tc>
        <w:tc>
          <w:tcPr>
            <w:tcW w:w="1080" w:type="dxa"/>
            <w:tcBorders>
              <w:top w:val="nil"/>
              <w:left w:val="single" w:sz="12" w:space="0" w:color="000000"/>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鶴見区</w:t>
            </w:r>
          </w:p>
        </w:tc>
        <w:tc>
          <w:tcPr>
            <w:tcW w:w="540" w:type="dxa"/>
            <w:tcBorders>
              <w:top w:val="nil"/>
              <w:left w:val="nil"/>
              <w:bottom w:val="nil"/>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55</w:t>
            </w:r>
          </w:p>
        </w:tc>
        <w:tc>
          <w:tcPr>
            <w:tcW w:w="720" w:type="dxa"/>
            <w:tcBorders>
              <w:top w:val="nil"/>
              <w:left w:val="nil"/>
              <w:bottom w:val="nil"/>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1.57%</w:t>
            </w:r>
          </w:p>
        </w:tc>
      </w:tr>
      <w:tr w:rsidR="00E822BE" w:rsidTr="00E822BE">
        <w:trPr>
          <w:trHeight w:val="260"/>
        </w:trPr>
        <w:tc>
          <w:tcPr>
            <w:tcW w:w="1080" w:type="dxa"/>
            <w:tcBorders>
              <w:top w:val="single" w:sz="12" w:space="0" w:color="000000"/>
              <w:left w:val="single" w:sz="12" w:space="0" w:color="000000"/>
              <w:bottom w:val="single" w:sz="12" w:space="0" w:color="000000"/>
              <w:right w:val="single" w:sz="6" w:space="0" w:color="000000"/>
            </w:tcBorders>
            <w:shd w:val="solid" w:color="FFFFFF" w:fill="FFFFFF"/>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市内総数</w:t>
            </w:r>
          </w:p>
        </w:tc>
        <w:tc>
          <w:tcPr>
            <w:tcW w:w="798" w:type="dxa"/>
            <w:tcBorders>
              <w:top w:val="single" w:sz="12" w:space="0" w:color="000000"/>
              <w:left w:val="nil"/>
              <w:bottom w:val="single" w:sz="12" w:space="0" w:color="000000"/>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85,228</w:t>
            </w:r>
          </w:p>
        </w:tc>
        <w:tc>
          <w:tcPr>
            <w:tcW w:w="744" w:type="dxa"/>
            <w:tcBorders>
              <w:top w:val="single" w:sz="12" w:space="0" w:color="000000"/>
              <w:left w:val="nil"/>
              <w:bottom w:val="single" w:sz="12" w:space="0" w:color="000000"/>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100.00%</w:t>
            </w:r>
          </w:p>
        </w:tc>
        <w:tc>
          <w:tcPr>
            <w:tcW w:w="978" w:type="dxa"/>
            <w:tcBorders>
              <w:top w:val="single" w:sz="12" w:space="0" w:color="000000"/>
              <w:left w:val="single" w:sz="12" w:space="0" w:color="000000"/>
              <w:bottom w:val="single" w:sz="12" w:space="0" w:color="000000"/>
              <w:right w:val="single" w:sz="6" w:space="0" w:color="000000"/>
            </w:tcBorders>
            <w:shd w:val="solid" w:color="FFFFFF" w:fill="FFFFFF"/>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市内総数</w:t>
            </w:r>
          </w:p>
        </w:tc>
        <w:tc>
          <w:tcPr>
            <w:tcW w:w="720" w:type="dxa"/>
            <w:tcBorders>
              <w:top w:val="single" w:sz="12" w:space="0" w:color="000000"/>
              <w:left w:val="nil"/>
              <w:bottom w:val="single" w:sz="12" w:space="0" w:color="000000"/>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27,850</w:t>
            </w:r>
          </w:p>
        </w:tc>
        <w:tc>
          <w:tcPr>
            <w:tcW w:w="720" w:type="dxa"/>
            <w:tcBorders>
              <w:top w:val="single" w:sz="12" w:space="0" w:color="000000"/>
              <w:left w:val="nil"/>
              <w:bottom w:val="single" w:sz="12" w:space="0" w:color="000000"/>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100.00%</w:t>
            </w:r>
          </w:p>
        </w:tc>
        <w:tc>
          <w:tcPr>
            <w:tcW w:w="1080" w:type="dxa"/>
            <w:tcBorders>
              <w:top w:val="single" w:sz="12" w:space="0" w:color="000000"/>
              <w:left w:val="single" w:sz="12" w:space="0" w:color="000000"/>
              <w:bottom w:val="single" w:sz="12" w:space="0" w:color="000000"/>
              <w:right w:val="single" w:sz="6" w:space="0" w:color="000000"/>
            </w:tcBorders>
            <w:shd w:val="solid" w:color="FFFFFF" w:fill="FFFFFF"/>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市内総数</w:t>
            </w:r>
          </w:p>
        </w:tc>
        <w:tc>
          <w:tcPr>
            <w:tcW w:w="540" w:type="dxa"/>
            <w:tcBorders>
              <w:top w:val="single" w:sz="12" w:space="0" w:color="000000"/>
              <w:left w:val="single" w:sz="12" w:space="0" w:color="000000"/>
              <w:bottom w:val="single" w:sz="12" w:space="0" w:color="000000"/>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3,511</w:t>
            </w:r>
          </w:p>
        </w:tc>
        <w:tc>
          <w:tcPr>
            <w:tcW w:w="720" w:type="dxa"/>
            <w:tcBorders>
              <w:top w:val="single" w:sz="12" w:space="0" w:color="000000"/>
              <w:left w:val="nil"/>
              <w:bottom w:val="single" w:sz="12" w:space="0" w:color="000000"/>
              <w:right w:val="single" w:sz="12"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100.00%</w:t>
            </w:r>
          </w:p>
        </w:tc>
      </w:tr>
      <w:tr w:rsidR="00E822BE" w:rsidTr="00E822BE">
        <w:trPr>
          <w:trHeight w:val="260"/>
        </w:trPr>
        <w:tc>
          <w:tcPr>
            <w:tcW w:w="1080" w:type="dxa"/>
            <w:tcBorders>
              <w:top w:val="single" w:sz="12" w:space="0" w:color="000000"/>
              <w:left w:val="single" w:sz="12" w:space="0" w:color="000000"/>
              <w:bottom w:val="single" w:sz="12" w:space="0" w:color="000000"/>
              <w:right w:val="single" w:sz="6" w:space="0" w:color="000000"/>
            </w:tcBorders>
            <w:shd w:val="solid" w:color="FFFFFF" w:fill="FFFFFF"/>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平均</w:t>
            </w:r>
          </w:p>
        </w:tc>
        <w:tc>
          <w:tcPr>
            <w:tcW w:w="798" w:type="dxa"/>
            <w:tcBorders>
              <w:top w:val="single" w:sz="12" w:space="0" w:color="000000"/>
              <w:left w:val="nil"/>
              <w:bottom w:val="single" w:sz="12" w:space="0" w:color="000000"/>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3,551</w:t>
            </w:r>
          </w:p>
        </w:tc>
        <w:tc>
          <w:tcPr>
            <w:tcW w:w="744" w:type="dxa"/>
            <w:tcBorders>
              <w:top w:val="single" w:sz="12" w:space="0" w:color="000000"/>
              <w:left w:val="nil"/>
              <w:bottom w:val="single" w:sz="12" w:space="0" w:color="000000"/>
              <w:right w:val="single" w:sz="12" w:space="0" w:color="000000"/>
            </w:tcBorders>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p>
        </w:tc>
        <w:tc>
          <w:tcPr>
            <w:tcW w:w="978" w:type="dxa"/>
            <w:tcBorders>
              <w:top w:val="single" w:sz="12" w:space="0" w:color="000000"/>
              <w:left w:val="single" w:sz="12" w:space="0" w:color="000000"/>
              <w:bottom w:val="single" w:sz="12" w:space="0" w:color="000000"/>
              <w:right w:val="single" w:sz="6" w:space="0" w:color="000000"/>
            </w:tcBorders>
            <w:shd w:val="solid" w:color="FFFFFF" w:fill="FFFFFF"/>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平均</w:t>
            </w:r>
          </w:p>
        </w:tc>
        <w:tc>
          <w:tcPr>
            <w:tcW w:w="720" w:type="dxa"/>
            <w:tcBorders>
              <w:top w:val="single" w:sz="12" w:space="0" w:color="000000"/>
              <w:left w:val="nil"/>
              <w:bottom w:val="single" w:sz="12" w:space="0" w:color="000000"/>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1,160</w:t>
            </w:r>
          </w:p>
        </w:tc>
        <w:tc>
          <w:tcPr>
            <w:tcW w:w="720" w:type="dxa"/>
            <w:tcBorders>
              <w:top w:val="single" w:sz="12" w:space="0" w:color="000000"/>
              <w:left w:val="nil"/>
              <w:bottom w:val="single" w:sz="12" w:space="0" w:color="000000"/>
              <w:right w:val="single" w:sz="12" w:space="0" w:color="000000"/>
            </w:tcBorders>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p>
        </w:tc>
        <w:tc>
          <w:tcPr>
            <w:tcW w:w="1080" w:type="dxa"/>
            <w:tcBorders>
              <w:top w:val="single" w:sz="12" w:space="0" w:color="000000"/>
              <w:left w:val="single" w:sz="12" w:space="0" w:color="000000"/>
              <w:bottom w:val="single" w:sz="12" w:space="0" w:color="000000"/>
              <w:right w:val="single" w:sz="6" w:space="0" w:color="000000"/>
            </w:tcBorders>
            <w:shd w:val="solid" w:color="FFFFFF" w:fill="FFFFFF"/>
            <w:hideMark/>
          </w:tcPr>
          <w:p w:rsidR="00E822BE" w:rsidRDefault="00E822BE" w:rsidP="00E822BE">
            <w:pPr>
              <w:framePr w:w="7785" w:h="7771" w:hSpace="142" w:wrap="around" w:vAnchor="text" w:hAnchor="page" w:x="1854" w:y="176"/>
              <w:autoSpaceDE w:val="0"/>
              <w:autoSpaceDN w:val="0"/>
              <w:spacing w:line="240" w:lineRule="auto"/>
              <w:jc w:val="left"/>
              <w:rPr>
                <w:rFonts w:ascii="ＭＳ Ｐゴシック" w:eastAsia="ＭＳ Ｐゴシック"/>
                <w:color w:val="000000"/>
                <w:sz w:val="20"/>
              </w:rPr>
            </w:pPr>
            <w:r>
              <w:rPr>
                <w:rFonts w:ascii="ＭＳ Ｐゴシック" w:eastAsia="ＭＳ Ｐゴシック" w:hint="eastAsia"/>
                <w:color w:val="000000"/>
                <w:sz w:val="20"/>
              </w:rPr>
              <w:t>平均</w:t>
            </w:r>
          </w:p>
        </w:tc>
        <w:tc>
          <w:tcPr>
            <w:tcW w:w="540" w:type="dxa"/>
            <w:tcBorders>
              <w:top w:val="single" w:sz="12" w:space="0" w:color="000000"/>
              <w:left w:val="single" w:sz="12" w:space="0" w:color="000000"/>
              <w:bottom w:val="single" w:sz="12" w:space="0" w:color="000000"/>
              <w:right w:val="single" w:sz="6" w:space="0" w:color="000000"/>
            </w:tcBorders>
            <w:hideMark/>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r>
              <w:rPr>
                <w:rFonts w:ascii="ＭＳ Ｐゴシック" w:eastAsia="ＭＳ Ｐゴシック" w:hint="eastAsia"/>
                <w:color w:val="000000"/>
                <w:sz w:val="20"/>
              </w:rPr>
              <w:t>146</w:t>
            </w:r>
          </w:p>
        </w:tc>
        <w:tc>
          <w:tcPr>
            <w:tcW w:w="720" w:type="dxa"/>
            <w:tcBorders>
              <w:top w:val="nil"/>
              <w:left w:val="nil"/>
              <w:bottom w:val="single" w:sz="12" w:space="0" w:color="000000"/>
              <w:right w:val="single" w:sz="12" w:space="0" w:color="000000"/>
            </w:tcBorders>
          </w:tcPr>
          <w:p w:rsidR="00E822BE" w:rsidRDefault="00E822BE" w:rsidP="00E822BE">
            <w:pPr>
              <w:framePr w:w="7785" w:h="7771" w:hSpace="142" w:wrap="around" w:vAnchor="text" w:hAnchor="page" w:x="1854" w:y="176"/>
              <w:autoSpaceDE w:val="0"/>
              <w:autoSpaceDN w:val="0"/>
              <w:spacing w:line="240" w:lineRule="auto"/>
              <w:jc w:val="right"/>
              <w:rPr>
                <w:rFonts w:ascii="ＭＳ Ｐゴシック" w:eastAsia="ＭＳ Ｐゴシック"/>
                <w:color w:val="000000"/>
                <w:sz w:val="20"/>
              </w:rPr>
            </w:pPr>
          </w:p>
        </w:tc>
      </w:tr>
    </w:tbl>
    <w:p w:rsidR="00E822BE" w:rsidRDefault="00E822BE" w:rsidP="00E822BE">
      <w:pPr>
        <w:framePr w:w="7785" w:h="7771" w:hSpace="142" w:wrap="around" w:vAnchor="text" w:hAnchor="page" w:x="1854" w:y="176"/>
        <w:pBdr>
          <w:top w:val="single" w:sz="6" w:space="1" w:color="auto"/>
          <w:left w:val="single" w:sz="6" w:space="1" w:color="auto"/>
          <w:bottom w:val="single" w:sz="6" w:space="1" w:color="auto"/>
          <w:right w:val="single" w:sz="6" w:space="1" w:color="auto"/>
        </w:pBdr>
      </w:pPr>
      <w:r>
        <w:rPr>
          <w:rFonts w:hint="eastAsia"/>
        </w:rPr>
        <w:t xml:space="preserve">　　大阪市統計局「統計時報」</w:t>
      </w:r>
      <w:r>
        <w:t>398</w:t>
      </w:r>
      <w:r>
        <w:rPr>
          <w:rFonts w:hint="eastAsia"/>
        </w:rPr>
        <w:t>・</w:t>
      </w:r>
      <w:r>
        <w:t>402</w:t>
      </w:r>
      <w:r>
        <w:rPr>
          <w:rFonts w:hint="eastAsia"/>
        </w:rPr>
        <w:t>号より作成。</w:t>
      </w:r>
      <w:r>
        <w:t>1990</w:t>
      </w:r>
      <w:r>
        <w:rPr>
          <w:rFonts w:hint="eastAsia"/>
        </w:rPr>
        <w:t>年国勢調査結果。</w:t>
      </w:r>
    </w:p>
    <w:p w:rsidR="00E822BE" w:rsidRPr="00E822BE" w:rsidRDefault="00E822BE"/>
    <w:sectPr w:rsidR="00E822BE" w:rsidRPr="00E822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405" w:rsidRDefault="00D63405" w:rsidP="006639C6">
      <w:pPr>
        <w:spacing w:line="240" w:lineRule="auto"/>
      </w:pPr>
      <w:r>
        <w:separator/>
      </w:r>
    </w:p>
  </w:endnote>
  <w:endnote w:type="continuationSeparator" w:id="0">
    <w:p w:rsidR="00D63405" w:rsidRDefault="00D63405" w:rsidP="006639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GP平成角ｺﾞｼｯｸ体W7">
    <w:panose1 w:val="020B0800000000000000"/>
    <w:charset w:val="80"/>
    <w:family w:val="modern"/>
    <w:pitch w:val="variable"/>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ＤＨＰ平成明朝体W7">
    <w:panose1 w:val="02010601000101010101"/>
    <w:charset w:val="80"/>
    <w:family w:val="auto"/>
    <w:pitch w:val="variable"/>
    <w:sig w:usb0="00000001" w:usb1="08070000" w:usb2="00000010" w:usb3="00000000" w:csb0="00020000" w:csb1="00000000"/>
  </w:font>
  <w:font w:name="FGＮＴＣ新楷書体">
    <w:panose1 w:val="03000709000000000000"/>
    <w:charset w:val="80"/>
    <w:family w:val="script"/>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405" w:rsidRDefault="00D63405" w:rsidP="006639C6">
      <w:pPr>
        <w:spacing w:line="240" w:lineRule="auto"/>
      </w:pPr>
      <w:r>
        <w:separator/>
      </w:r>
    </w:p>
  </w:footnote>
  <w:footnote w:type="continuationSeparator" w:id="0">
    <w:p w:rsidR="00D63405" w:rsidRDefault="00D63405" w:rsidP="006639C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1D7F21"/>
    <w:multiLevelType w:val="singleLevel"/>
    <w:tmpl w:val="297A7D6E"/>
    <w:lvl w:ilvl="0">
      <w:start w:val="9"/>
      <w:numFmt w:val="decimalFullWidth"/>
      <w:lvlText w:val="%1．"/>
      <w:legacy w:legacy="1" w:legacySpace="0" w:legacyIndent="225"/>
      <w:lvlJc w:val="left"/>
      <w:pPr>
        <w:ind w:left="225" w:hanging="225"/>
      </w:pPr>
      <w:rPr>
        <w:rFonts w:ascii="FGP平成角ｺﾞｼｯｸ体W7" w:eastAsia="FGP平成角ｺﾞｼｯｸ体W7" w:hint="eastAsia"/>
        <w:b w:val="0"/>
        <w:i w:val="0"/>
        <w:strike w:val="0"/>
        <w:dstrike w:val="0"/>
        <w:sz w:val="24"/>
        <w:u w:val="none"/>
        <w:effect w:val="none"/>
      </w:rPr>
    </w:lvl>
  </w:abstractNum>
  <w:num w:numId="1">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BE"/>
    <w:rsid w:val="006639C6"/>
    <w:rsid w:val="00CE74D8"/>
    <w:rsid w:val="00D63405"/>
    <w:rsid w:val="00E82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3973BC-1466-4E5A-B82A-4FE34930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2BE"/>
    <w:pPr>
      <w:widowControl w:val="0"/>
      <w:adjustRightInd w:val="0"/>
      <w:spacing w:line="360" w:lineRule="atLeast"/>
      <w:jc w:val="both"/>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9C6"/>
    <w:pPr>
      <w:tabs>
        <w:tab w:val="center" w:pos="4252"/>
        <w:tab w:val="right" w:pos="8504"/>
      </w:tabs>
      <w:snapToGrid w:val="0"/>
    </w:pPr>
  </w:style>
  <w:style w:type="character" w:customStyle="1" w:styleId="a4">
    <w:name w:val="ヘッダー (文字)"/>
    <w:basedOn w:val="a0"/>
    <w:link w:val="a3"/>
    <w:uiPriority w:val="99"/>
    <w:rsid w:val="006639C6"/>
    <w:rPr>
      <w:rFonts w:ascii="Century" w:eastAsia="Mincho" w:hAnsi="Century" w:cs="Times New Roman"/>
      <w:kern w:val="0"/>
      <w:szCs w:val="20"/>
    </w:rPr>
  </w:style>
  <w:style w:type="paragraph" w:styleId="a5">
    <w:name w:val="footer"/>
    <w:basedOn w:val="a"/>
    <w:link w:val="a6"/>
    <w:uiPriority w:val="99"/>
    <w:unhideWhenUsed/>
    <w:rsid w:val="006639C6"/>
    <w:pPr>
      <w:tabs>
        <w:tab w:val="center" w:pos="4252"/>
        <w:tab w:val="right" w:pos="8504"/>
      </w:tabs>
      <w:snapToGrid w:val="0"/>
    </w:pPr>
  </w:style>
  <w:style w:type="character" w:customStyle="1" w:styleId="a6">
    <w:name w:val="フッター (文字)"/>
    <w:basedOn w:val="a0"/>
    <w:link w:val="a5"/>
    <w:uiPriority w:val="99"/>
    <w:rsid w:val="006639C6"/>
    <w:rPr>
      <w:rFonts w:ascii="Century" w:eastAsia="Mincho"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3299">
      <w:bodyDiv w:val="1"/>
      <w:marLeft w:val="0"/>
      <w:marRight w:val="0"/>
      <w:marTop w:val="0"/>
      <w:marBottom w:val="0"/>
      <w:divBdr>
        <w:top w:val="none" w:sz="0" w:space="0" w:color="auto"/>
        <w:left w:val="none" w:sz="0" w:space="0" w:color="auto"/>
        <w:bottom w:val="none" w:sz="0" w:space="0" w:color="auto"/>
        <w:right w:val="none" w:sz="0" w:space="0" w:color="auto"/>
      </w:divBdr>
    </w:div>
    <w:div w:id="410011065">
      <w:bodyDiv w:val="1"/>
      <w:marLeft w:val="0"/>
      <w:marRight w:val="0"/>
      <w:marTop w:val="0"/>
      <w:marBottom w:val="0"/>
      <w:divBdr>
        <w:top w:val="none" w:sz="0" w:space="0" w:color="auto"/>
        <w:left w:val="none" w:sz="0" w:space="0" w:color="auto"/>
        <w:bottom w:val="none" w:sz="0" w:space="0" w:color="auto"/>
        <w:right w:val="none" w:sz="0" w:space="0" w:color="auto"/>
      </w:divBdr>
    </w:div>
    <w:div w:id="213647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429</Words>
  <Characters>2447</Characters>
  <Application>Microsoft Office Word</Application>
  <DocSecurity>8</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2015-01-19T00:25:00Z</dcterms:created>
  <dcterms:modified xsi:type="dcterms:W3CDTF">2015-01-28T00:40:00Z</dcterms:modified>
</cp:coreProperties>
</file>